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4E" w:rsidRDefault="0001544E" w:rsidP="00CC74E2">
      <w:pPr>
        <w:pStyle w:val="titlename"/>
        <w:wordWrap w:val="0"/>
      </w:pPr>
      <w:bookmarkStart w:id="0" w:name="_GoBack"/>
      <w:bookmarkEnd w:id="0"/>
      <w:r>
        <w:rPr>
          <w:rFonts w:hint="eastAsia"/>
        </w:rPr>
        <w:t>○八峰町公共工事前払金の取扱要領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1544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1544E" w:rsidRDefault="0001544E" w:rsidP="00CC74E2">
            <w:pPr>
              <w:wordWrap w:val="0"/>
              <w:jc w:val="right"/>
            </w:pPr>
            <w:r>
              <w:t>(</w:t>
            </w:r>
            <w:r>
              <w:rPr>
                <w:rFonts w:hint="eastAsia"/>
              </w:rPr>
              <w:t>平成</w:t>
            </w:r>
            <w:r>
              <w:t>18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日訓令第</w:t>
            </w:r>
            <w:r>
              <w:t>24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01544E" w:rsidRDefault="0001544E" w:rsidP="00CC74E2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2778"/>
              <w:gridCol w:w="2501"/>
            </w:tblGrid>
            <w:tr w:rsidR="0001544E">
              <w:trPr>
                <w:jc w:val="right"/>
              </w:trPr>
              <w:tc>
                <w:tcPr>
                  <w:tcW w:w="750" w:type="dxa"/>
                  <w:vMerge w:val="restart"/>
                  <w:tcBorders>
                    <w:top w:val="single" w:sz="6" w:space="0" w:color="FFFFFF"/>
                    <w:left w:val="single" w:sz="6" w:space="0" w:color="FFFFFF"/>
                    <w:bottom w:val="nil"/>
                    <w:right w:val="nil"/>
                  </w:tcBorders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  <w:jc w:val="right"/>
                  </w:pPr>
                  <w:r>
                    <w:rPr>
                      <w:rStyle w:val="histtitle"/>
                      <w:rFonts w:cs="ＭＳ 明朝" w:hint="eastAsia"/>
                    </w:rPr>
                    <w:t>改正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</w:pPr>
                  <w:r>
                    <w:rPr>
                      <w:rFonts w:hint="eastAsia"/>
                    </w:rPr>
                    <w:t>平成</w:t>
                  </w:r>
                  <w:r>
                    <w:t>20</w:t>
                  </w:r>
                  <w:r>
                    <w:rPr>
                      <w:rFonts w:hint="eastAsia"/>
                    </w:rPr>
                    <w:t>年</w:t>
                  </w:r>
                  <w: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19</w:t>
                  </w:r>
                  <w:r>
                    <w:rPr>
                      <w:rFonts w:hint="eastAsia"/>
                    </w:rPr>
                    <w:t>日訓令第</w:t>
                  </w:r>
                  <w:r>
                    <w:t>6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</w:pPr>
                  <w:r>
                    <w:rPr>
                      <w:rFonts w:hint="eastAsia"/>
                    </w:rPr>
                    <w:t>平成</w:t>
                  </w:r>
                  <w:r>
                    <w:t>21</w:t>
                  </w:r>
                  <w:r>
                    <w:rPr>
                      <w:rFonts w:hint="eastAsia"/>
                    </w:rPr>
                    <w:t>年</w:t>
                  </w:r>
                  <w: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19</w:t>
                  </w:r>
                  <w:r>
                    <w:rPr>
                      <w:rFonts w:hint="eastAsia"/>
                    </w:rPr>
                    <w:t>日訓令第</w:t>
                  </w:r>
                  <w:r>
                    <w:t>4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01544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FFFFFF"/>
                    <w:bottom w:val="nil"/>
                    <w:right w:val="nil"/>
                  </w:tcBorders>
                  <w:vAlign w:val="center"/>
                  <w:hideMark/>
                </w:tcPr>
                <w:p w:rsidR="0001544E" w:rsidRDefault="0001544E" w:rsidP="00CC7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</w:pPr>
                  <w:r>
                    <w:rPr>
                      <w:rFonts w:hint="eastAsia"/>
                    </w:rPr>
                    <w:t>平成</w:t>
                  </w:r>
                  <w:r>
                    <w:t>24</w:t>
                  </w:r>
                  <w:r>
                    <w:rPr>
                      <w:rFonts w:hint="eastAsia"/>
                    </w:rPr>
                    <w:t>年</w:t>
                  </w:r>
                  <w:r>
                    <w:t>7</w:t>
                  </w:r>
                  <w:r>
                    <w:rPr>
                      <w:rFonts w:hint="eastAsia"/>
                    </w:rPr>
                    <w:t>月</w:t>
                  </w:r>
                  <w:r>
                    <w:t>25</w:t>
                  </w:r>
                  <w:r>
                    <w:rPr>
                      <w:rFonts w:hint="eastAsia"/>
                    </w:rPr>
                    <w:t>日訓令第</w:t>
                  </w:r>
                  <w:r>
                    <w:t>10</w:t>
                  </w:r>
                  <w:r>
                    <w:rPr>
                      <w:rFonts w:hint="eastAsia"/>
                    </w:rPr>
                    <w:t>号の</w:t>
                  </w: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</w:pPr>
                  <w:r>
                    <w:rPr>
                      <w:rFonts w:hint="eastAsia"/>
                    </w:rPr>
                    <w:t>平成</w:t>
                  </w:r>
                  <w:r>
                    <w:t>25</w:t>
                  </w:r>
                  <w:r>
                    <w:rPr>
                      <w:rFonts w:hint="eastAsia"/>
                    </w:rPr>
                    <w:t>年</w:t>
                  </w:r>
                  <w:r>
                    <w:t>8</w:t>
                  </w:r>
                  <w:r>
                    <w:rPr>
                      <w:rFonts w:hint="eastAsia"/>
                    </w:rPr>
                    <w:t>月</w:t>
                  </w:r>
                  <w:r>
                    <w:t>30</w:t>
                  </w:r>
                  <w:r>
                    <w:rPr>
                      <w:rFonts w:hint="eastAsia"/>
                    </w:rPr>
                    <w:t>日訓令第</w:t>
                  </w:r>
                  <w:r>
                    <w:t>11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01544E">
              <w:trPr>
                <w:jc w:val="right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FFFFFF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01544E" w:rsidRDefault="0001544E" w:rsidP="00CC74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vAlign w:val="center"/>
                  <w:hideMark/>
                </w:tcPr>
                <w:p w:rsidR="0001544E" w:rsidRDefault="0001544E" w:rsidP="00CC74E2">
                  <w:pPr>
                    <w:pStyle w:val="historyinfo"/>
                    <w:wordWrap w:val="0"/>
                  </w:pPr>
                  <w:r>
                    <w:rPr>
                      <w:rFonts w:hint="eastAsia"/>
                    </w:rPr>
                    <w:t>平成</w:t>
                  </w:r>
                  <w:r>
                    <w:t>27</w:t>
                  </w:r>
                  <w:r>
                    <w:rPr>
                      <w:rFonts w:hint="eastAsia"/>
                    </w:rPr>
                    <w:t>年</w:t>
                  </w:r>
                  <w: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t>30</w:t>
                  </w:r>
                  <w:r>
                    <w:rPr>
                      <w:rFonts w:hint="eastAsia"/>
                    </w:rPr>
                    <w:t>日訓令第</w:t>
                  </w:r>
                  <w:r>
                    <w:t>14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総則</w:t>
      </w:r>
      <w:r>
        <w:t>)</w:t>
      </w:r>
    </w:p>
    <w:p w:rsidR="0001544E" w:rsidRDefault="0001544E" w:rsidP="00CC74E2">
      <w:pPr>
        <w:pStyle w:val="sec0"/>
        <w:wordWrap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条　町が発注する公共工事の八峰町財務規則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年八峰町規則第</w:t>
      </w:r>
      <w:r>
        <w:t>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136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項の規定に基づく前払金の取扱いについては、この訓令の定めるところによる。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前払金の割合及び使途の範囲</w:t>
      </w:r>
      <w:r>
        <w:t>)</w:t>
      </w:r>
    </w:p>
    <w:p w:rsidR="0001544E" w:rsidRDefault="0001544E" w:rsidP="00CC74E2">
      <w:pPr>
        <w:pStyle w:val="sec0"/>
        <w:wordWrap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条　前払金は、</w:t>
      </w:r>
      <w:r>
        <w:t>1</w:t>
      </w:r>
      <w:r>
        <w:rPr>
          <w:rFonts w:hint="eastAsia"/>
        </w:rPr>
        <w:t>件の契約金額が</w:t>
      </w:r>
      <w:r>
        <w:t>130</w:t>
      </w:r>
      <w:r>
        <w:rPr>
          <w:rFonts w:hint="eastAsia"/>
        </w:rPr>
        <w:t>万円以上のものについて、契約金額に</w:t>
      </w:r>
      <w:r>
        <w:t>10</w:t>
      </w:r>
      <w:r>
        <w:rPr>
          <w:rFonts w:hint="eastAsia"/>
        </w:rPr>
        <w:t>分の</w:t>
      </w:r>
      <w:r>
        <w:t>4</w:t>
      </w:r>
      <w:r>
        <w:rPr>
          <w:rFonts w:hint="eastAsia"/>
        </w:rPr>
        <w:t>を乗じて得た額の範囲内とする。</w:t>
      </w:r>
    </w:p>
    <w:p w:rsidR="0001544E" w:rsidRDefault="0001544E" w:rsidP="00CC74E2">
      <w:pPr>
        <w:pStyle w:val="sec0"/>
        <w:wordWrap w:val="0"/>
      </w:pPr>
      <w:r>
        <w:t>2</w:t>
      </w: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項の前払金の使途の範囲は、工事の材料費、労務費、損料、動力費、運賃、修繕料、仮設費、機械の購入費</w:t>
      </w:r>
      <w:r>
        <w:t>(</w:t>
      </w:r>
      <w:r>
        <w:rPr>
          <w:rFonts w:hint="eastAsia"/>
        </w:rPr>
        <w:t>当該工事において償却される割合に相当する額に限る。</w:t>
      </w:r>
      <w:r>
        <w:t>)</w:t>
      </w:r>
      <w:r>
        <w:rPr>
          <w:rFonts w:hint="eastAsia"/>
        </w:rPr>
        <w:t>労働災害補償保険料、測量費、設計費、保証料その他契約担当者が必要と認めた経費に限る。</w:t>
      </w:r>
    </w:p>
    <w:p w:rsidR="0001544E" w:rsidRDefault="0001544E" w:rsidP="00CC74E2">
      <w:pPr>
        <w:pStyle w:val="sec0"/>
        <w:wordWrap w:val="0"/>
      </w:pPr>
      <w:r>
        <w:t>3</w:t>
      </w:r>
      <w:r>
        <w:rPr>
          <w:rFonts w:hint="eastAsia"/>
        </w:rPr>
        <w:t xml:space="preserve">　第</w:t>
      </w:r>
      <w:r>
        <w:t>1</w:t>
      </w:r>
      <w:r>
        <w:rPr>
          <w:rFonts w:hint="eastAsia"/>
        </w:rPr>
        <w:t>項の規定による前払金については、歳計現金保有の状況等により、これを減額し、又は支出しないことができる。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前払金の請求</w:t>
      </w:r>
      <w:r>
        <w:t>)</w:t>
      </w:r>
    </w:p>
    <w:p w:rsidR="0001544E" w:rsidRDefault="0001544E" w:rsidP="00CC74E2">
      <w:pPr>
        <w:pStyle w:val="sec0"/>
        <w:wordWrap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条　契約者は、前払金を請求するときは、契約締結後に工事前払金申請書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及び保証事業会社による保証証書（前払金保証）を提出しなければならない。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前払金の決定及び支払期限</w:t>
      </w:r>
      <w:r>
        <w:t>)</w:t>
      </w:r>
    </w:p>
    <w:p w:rsidR="0001544E" w:rsidRDefault="0001544E" w:rsidP="00CC74E2">
      <w:pPr>
        <w:pStyle w:val="sec0"/>
        <w:wordWrap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条　契約担当者は、前条の申請を承認したときは、前払金決定通知書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を交付しなければならない。</w:t>
      </w:r>
    </w:p>
    <w:p w:rsidR="0001544E" w:rsidRDefault="0001544E" w:rsidP="00CC74E2">
      <w:pPr>
        <w:pStyle w:val="sec0"/>
        <w:wordWrap w:val="0"/>
      </w:pPr>
      <w:r>
        <w:t>2</w:t>
      </w:r>
      <w:r>
        <w:rPr>
          <w:rFonts w:hint="eastAsia"/>
        </w:rPr>
        <w:t xml:space="preserve">　契約担当者は、請求のあった日から</w:t>
      </w:r>
      <w:r>
        <w:t>14</w:t>
      </w:r>
      <w:r>
        <w:rPr>
          <w:rFonts w:hint="eastAsia"/>
        </w:rPr>
        <w:t>日以内に支払うものとする。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保証証書の返付</w:t>
      </w:r>
      <w:r>
        <w:t>)</w:t>
      </w:r>
    </w:p>
    <w:p w:rsidR="0001544E" w:rsidRDefault="0001544E" w:rsidP="00CC74E2">
      <w:pPr>
        <w:pStyle w:val="sec0"/>
        <w:wordWrap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条　保証証書は、前払金の精算がなされたとき、又は八峰町財務規則第</w:t>
      </w:r>
      <w:r>
        <w:t>137</w:t>
      </w:r>
      <w:r>
        <w:rPr>
          <w:rFonts w:hint="eastAsia"/>
        </w:rPr>
        <w:t>条の規定により前払金の返還をしたときに返付する。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t>附　則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施行期日</w:t>
      </w:r>
      <w:r>
        <w:t>)</w:t>
      </w:r>
    </w:p>
    <w:p w:rsidR="0001544E" w:rsidRDefault="0001544E" w:rsidP="00CC74E2">
      <w:pPr>
        <w:pStyle w:val="sec0"/>
        <w:wordWrap w:val="0"/>
      </w:pPr>
      <w:r>
        <w:t>1</w:t>
      </w:r>
      <w:r>
        <w:rPr>
          <w:rFonts w:hint="eastAsia"/>
        </w:rPr>
        <w:t xml:space="preserve">　この訓令は、平成</w:t>
      </w:r>
      <w:r>
        <w:t>18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detailindent"/>
        <w:wordWrap w:val="0"/>
      </w:pPr>
      <w:r>
        <w:t>(</w:t>
      </w:r>
      <w:r>
        <w:rPr>
          <w:rFonts w:hint="eastAsia"/>
        </w:rPr>
        <w:t>経過措置</w:t>
      </w:r>
      <w:r>
        <w:t>)</w:t>
      </w:r>
    </w:p>
    <w:p w:rsidR="0001544E" w:rsidRDefault="0001544E" w:rsidP="00CC74E2">
      <w:pPr>
        <w:pStyle w:val="sec0"/>
        <w:wordWrap w:val="0"/>
      </w:pPr>
      <w:r>
        <w:t>2</w:t>
      </w:r>
      <w:r>
        <w:rPr>
          <w:rFonts w:hint="eastAsia"/>
        </w:rPr>
        <w:t xml:space="preserve">　この訓令の施行の日の前日までに、合併前の八森町公共工事に要する経費の前払金の取扱要領</w:t>
      </w:r>
      <w:r>
        <w:t>(</w:t>
      </w:r>
      <w:r>
        <w:rPr>
          <w:rFonts w:hint="eastAsia"/>
        </w:rPr>
        <w:t>平成</w:t>
      </w:r>
      <w:r>
        <w:t>8</w:t>
      </w:r>
      <w:r>
        <w:rPr>
          <w:rFonts w:hint="eastAsia"/>
        </w:rPr>
        <w:t>年八森町訓令第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又は公共工事に要する経費の前払金の取扱要領</w:t>
      </w:r>
      <w:r>
        <w:t>(</w:t>
      </w:r>
      <w:r>
        <w:rPr>
          <w:rFonts w:hint="eastAsia"/>
        </w:rPr>
        <w:t>平成</w:t>
      </w:r>
      <w:r>
        <w:t>8</w:t>
      </w:r>
      <w:r>
        <w:rPr>
          <w:rFonts w:hint="eastAsia"/>
        </w:rPr>
        <w:t>年峰浜村要領第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の規定によりなされた処分、手続その他の行為は、この訓令の相当規定によりなされたものとみなす。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lastRenderedPageBreak/>
        <w:t>附　則</w:t>
      </w:r>
      <w:r>
        <w:t>(</w:t>
      </w:r>
      <w:r>
        <w:rPr>
          <w:rFonts w:hint="eastAsia"/>
        </w:rPr>
        <w:t>平成</w:t>
      </w:r>
      <w:r>
        <w:t>20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日訓令第</w:t>
      </w:r>
      <w:r>
        <w:t>6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544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wordWrap w:val="0"/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stepindent1"/>
        <w:wordWrap w:val="0"/>
      </w:pPr>
      <w:r>
        <w:rPr>
          <w:rFonts w:hint="eastAsia"/>
        </w:rPr>
        <w:t>この訓令は、平成</w:t>
      </w:r>
      <w:r>
        <w:t>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t>附　則</w:t>
      </w:r>
      <w:r>
        <w:t>(</w:t>
      </w:r>
      <w:r>
        <w:rPr>
          <w:rFonts w:hint="eastAsia"/>
        </w:rPr>
        <w:t>平成</w:t>
      </w:r>
      <w:r>
        <w:t>21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日訓令第</w:t>
      </w:r>
      <w:r>
        <w:t>4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544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wordWrap w:val="0"/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stepindent1"/>
        <w:wordWrap w:val="0"/>
      </w:pPr>
      <w:r>
        <w:rPr>
          <w:rFonts w:hint="eastAsia"/>
        </w:rPr>
        <w:t>この訓令は、平成</w:t>
      </w:r>
      <w:r>
        <w:t>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t>附　則</w:t>
      </w:r>
      <w:r>
        <w:t>(</w:t>
      </w:r>
      <w:r>
        <w:rPr>
          <w:rFonts w:hint="eastAsia"/>
        </w:rPr>
        <w:t>平成</w:t>
      </w:r>
      <w:r>
        <w:t>24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日訓令第</w:t>
      </w:r>
      <w:r>
        <w:t>10</w:t>
      </w:r>
      <w:r>
        <w:rPr>
          <w:rFonts w:hint="eastAsia"/>
        </w:rPr>
        <w:t>号の</w:t>
      </w:r>
      <w:r>
        <w:t>1)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544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wordWrap w:val="0"/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stepindent1"/>
        <w:wordWrap w:val="0"/>
      </w:pPr>
      <w:r>
        <w:rPr>
          <w:rFonts w:hint="eastAsia"/>
        </w:rPr>
        <w:t>この訓令は、平成</w:t>
      </w:r>
      <w:r>
        <w:t>24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t>附　則</w:t>
      </w:r>
      <w:r>
        <w:t>(</w:t>
      </w:r>
      <w:r>
        <w:rPr>
          <w:rFonts w:hint="eastAsia"/>
        </w:rPr>
        <w:t>平成</w:t>
      </w:r>
      <w:r>
        <w:t>25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日訓令第</w:t>
      </w:r>
      <w:r>
        <w:t>11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544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wordWrap w:val="0"/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stepindent1"/>
        <w:wordWrap w:val="0"/>
      </w:pPr>
      <w:r>
        <w:rPr>
          <w:rFonts w:hint="eastAsia"/>
        </w:rPr>
        <w:t>この訓令は、平成</w:t>
      </w:r>
      <w:r>
        <w:t>25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sec32"/>
        <w:wordWrap w:val="0"/>
      </w:pPr>
      <w:r>
        <w:rPr>
          <w:rFonts w:hint="eastAsia"/>
        </w:rPr>
        <w:t>附　則</w:t>
      </w:r>
      <w:r>
        <w:t>(</w:t>
      </w:r>
      <w:r>
        <w:rPr>
          <w:rFonts w:hint="eastAsia"/>
        </w:rPr>
        <w:t>平成</w:t>
      </w:r>
      <w:r>
        <w:t>27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日訓令第</w:t>
      </w:r>
      <w:r>
        <w:t>14</w:t>
      </w:r>
      <w:r>
        <w:rPr>
          <w:rFonts w:hint="eastAsia"/>
        </w:rPr>
        <w:t>号</w:t>
      </w:r>
      <w:r>
        <w:t>)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01544E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544E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544E" w:rsidRDefault="0001544E" w:rsidP="00CC74E2">
                  <w:pPr>
                    <w:wordWrap w:val="0"/>
                  </w:pPr>
                </w:p>
              </w:tc>
            </w:tr>
          </w:tbl>
          <w:p w:rsidR="0001544E" w:rsidRDefault="0001544E" w:rsidP="00CC74E2">
            <w:pPr>
              <w:wordWrap w:val="0"/>
              <w:jc w:val="right"/>
            </w:pPr>
          </w:p>
        </w:tc>
      </w:tr>
    </w:tbl>
    <w:p w:rsidR="0001544E" w:rsidRDefault="0001544E" w:rsidP="00CC74E2">
      <w:pPr>
        <w:pStyle w:val="stepindent1"/>
        <w:wordWrap w:val="0"/>
      </w:pPr>
      <w:r>
        <w:rPr>
          <w:rFonts w:hint="eastAsia"/>
        </w:rPr>
        <w:t>この訓令は、平成</w:t>
      </w:r>
      <w:r>
        <w:t>27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日から施行する。</w:t>
      </w:r>
    </w:p>
    <w:p w:rsidR="0001544E" w:rsidRDefault="0001544E" w:rsidP="00CC74E2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1544E" w:rsidRDefault="0001544E" w:rsidP="00CC74E2">
      <w:pPr>
        <w:pStyle w:val="detailindent"/>
        <w:wordWrap w:val="0"/>
      </w:pPr>
      <w:r>
        <w:rPr>
          <w:rFonts w:hint="eastAsia"/>
        </w:rPr>
        <w:t>工事前払金申請書</w:t>
      </w:r>
    </w:p>
    <w:p w:rsidR="0001544E" w:rsidRDefault="0001544E" w:rsidP="00CC74E2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p w:rsidR="0001544E" w:rsidRDefault="0001544E" w:rsidP="00CC74E2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　削除</w:t>
      </w:r>
    </w:p>
    <w:p w:rsidR="0001544E" w:rsidRDefault="0001544E" w:rsidP="00CC74E2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1544E" w:rsidRDefault="0001544E" w:rsidP="00CC74E2">
      <w:pPr>
        <w:pStyle w:val="detailindent"/>
        <w:wordWrap w:val="0"/>
      </w:pPr>
      <w:r>
        <w:rPr>
          <w:rFonts w:hint="eastAsia"/>
        </w:rPr>
        <w:t>前払金決定通知書</w:t>
      </w:r>
    </w:p>
    <w:p w:rsidR="0001544E" w:rsidRDefault="0001544E" w:rsidP="00CC74E2">
      <w:pPr>
        <w:pStyle w:val="detailindent"/>
        <w:wordWrap w:val="0"/>
      </w:pPr>
      <w:r>
        <w:t>[</w:t>
      </w:r>
      <w:r>
        <w:rPr>
          <w:rFonts w:hint="eastAsia"/>
        </w:rPr>
        <w:t>別紙参照</w:t>
      </w:r>
      <w:r>
        <w:t>]</w:t>
      </w:r>
    </w:p>
    <w:sectPr w:rsidR="0001544E" w:rsidSect="00CC74E2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4E" w:rsidRDefault="0001544E" w:rsidP="00A952E9">
      <w:r>
        <w:separator/>
      </w:r>
    </w:p>
  </w:endnote>
  <w:endnote w:type="continuationSeparator" w:id="0">
    <w:p w:rsidR="0001544E" w:rsidRDefault="0001544E" w:rsidP="00A9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4E" w:rsidRDefault="0001544E" w:rsidP="00A952E9">
      <w:r>
        <w:separator/>
      </w:r>
    </w:p>
  </w:footnote>
  <w:footnote w:type="continuationSeparator" w:id="0">
    <w:p w:rsidR="0001544E" w:rsidRDefault="0001544E" w:rsidP="00A9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A952E9"/>
    <w:rsid w:val="0001544E"/>
    <w:rsid w:val="00A952E9"/>
    <w:rsid w:val="00C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95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52E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5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52E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CRESTEC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八峰町公共工事前払金の取扱要領</dc:title>
  <dc:subject/>
  <dc:creator>Administrator</dc:creator>
  <cp:keywords/>
  <dc:description/>
  <cp:lastModifiedBy>Administrator</cp:lastModifiedBy>
  <cp:revision>2</cp:revision>
  <dcterms:created xsi:type="dcterms:W3CDTF">2015-04-13T07:10:00Z</dcterms:created>
  <dcterms:modified xsi:type="dcterms:W3CDTF">2015-04-13T07:10:00Z</dcterms:modified>
</cp:coreProperties>
</file>